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40"/>
        </w:tabs>
        <w:kinsoku/>
        <w:wordWrap/>
        <w:overflowPunct/>
        <w:topLinePunct w:val="0"/>
        <w:autoSpaceDE/>
        <w:autoSpaceDN/>
        <w:bidi w:val="0"/>
        <w:adjustRightInd/>
        <w:snapToGrid/>
        <w:spacing w:before="313" w:beforeLines="100" w:line="400" w:lineRule="exact"/>
        <w:jc w:val="center"/>
        <w:textAlignment w:val="auto"/>
        <w:rPr>
          <w:rFonts w:ascii="方正小标宋简体" w:hAnsi="Arial" w:eastAsia="方正小标宋简体" w:cs="Arial"/>
          <w:b w:val="0"/>
          <w:bCs/>
          <w:sz w:val="36"/>
          <w:szCs w:val="36"/>
        </w:rPr>
      </w:pPr>
      <w:r>
        <w:rPr>
          <w:rFonts w:hint="eastAsia" w:ascii="方正小标宋简体" w:hAnsi="Arial" w:eastAsia="方正小标宋简体" w:cs="Arial"/>
          <w:b w:val="0"/>
          <w:bCs/>
          <w:sz w:val="36"/>
          <w:szCs w:val="36"/>
        </w:rPr>
        <w:t>关于持有泉州银行股份有限公司股份的承诺函</w:t>
      </w:r>
    </w:p>
    <w:p>
      <w:pPr>
        <w:tabs>
          <w:tab w:val="left" w:pos="840"/>
        </w:tabs>
        <w:adjustRightInd w:val="0"/>
        <w:snapToGrid w:val="0"/>
        <w:spacing w:afterLines="50"/>
        <w:jc w:val="center"/>
        <w:rPr>
          <w:rFonts w:ascii="Arial" w:hAnsi="Arial" w:eastAsia="楷体_GB2312" w:cs="Arial"/>
          <w:b/>
          <w:sz w:val="28"/>
          <w:szCs w:val="28"/>
        </w:rPr>
      </w:pPr>
    </w:p>
    <w:p>
      <w:pPr>
        <w:adjustRightInd w:val="0"/>
        <w:snapToGrid w:val="0"/>
        <w:spacing w:afterLines="50"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本单位作为持有泉州银行股份有限公司（以下简称“泉州银行”）法人股股东，本单位作出如下承诺：</w:t>
      </w:r>
    </w:p>
    <w:p>
      <w:pPr>
        <w:pStyle w:val="12"/>
        <w:numPr>
          <w:ilvl w:val="0"/>
          <w:numId w:val="1"/>
        </w:numPr>
        <w:adjustRightInd w:val="0"/>
        <w:snapToGrid w:val="0"/>
        <w:spacing w:afterLines="50" w:line="560" w:lineRule="exact"/>
        <w:ind w:left="0" w:firstLine="640"/>
        <w:rPr>
          <w:rFonts w:ascii="仿宋_GB2312" w:hAnsi="Arial" w:eastAsia="仿宋_GB2312" w:cs="Arial"/>
          <w:sz w:val="32"/>
          <w:szCs w:val="32"/>
        </w:rPr>
      </w:pPr>
      <w:r>
        <w:rPr>
          <w:rFonts w:hint="eastAsia" w:ascii="仿宋_GB2312" w:hAnsi="Arial" w:eastAsia="仿宋_GB2312" w:cs="Arial"/>
          <w:sz w:val="32"/>
          <w:szCs w:val="32"/>
        </w:rPr>
        <w:t>如果泉州银行将来在证券交易所发行新股并上市，则自泉州银行在证券交易所上市之日起12个月内，本单位不转让或者委托他人管理本单位持有的泉州银行股份，也不由泉州银行回购本单位持有的泉州银行股份。</w:t>
      </w:r>
      <w:bookmarkStart w:id="0" w:name="_GoBack"/>
      <w:bookmarkEnd w:id="0"/>
    </w:p>
    <w:p>
      <w:pPr>
        <w:pStyle w:val="12"/>
        <w:numPr>
          <w:ilvl w:val="0"/>
          <w:numId w:val="1"/>
        </w:numPr>
        <w:adjustRightInd w:val="0"/>
        <w:snapToGrid w:val="0"/>
        <w:spacing w:afterLines="50" w:line="560" w:lineRule="exact"/>
        <w:ind w:left="0" w:firstLine="640"/>
        <w:rPr>
          <w:rFonts w:ascii="仿宋_GB2312" w:hAnsi="Arial" w:eastAsia="仿宋_GB2312" w:cs="Arial"/>
          <w:sz w:val="32"/>
          <w:szCs w:val="32"/>
        </w:rPr>
      </w:pPr>
      <w:r>
        <w:rPr>
          <w:rFonts w:hint="eastAsia" w:ascii="仿宋_GB2312" w:hAnsi="Arial" w:eastAsia="仿宋_GB2312" w:cs="Arial"/>
          <w:sz w:val="32"/>
          <w:szCs w:val="32"/>
        </w:rPr>
        <w:t>如果将来根据相关法律法规和证券交易所等监管部门的要求对本单位持有的泉州银行股份的锁定作出新的规定或提出新的要求，或者对现行规定和要求进行修改的，本单位承诺届时将严格遵守新的或者修改后的规定和要求锁定股份。</w:t>
      </w:r>
    </w:p>
    <w:p>
      <w:pPr>
        <w:pStyle w:val="12"/>
        <w:numPr>
          <w:ilvl w:val="0"/>
          <w:numId w:val="1"/>
        </w:numPr>
        <w:adjustRightInd w:val="0"/>
        <w:snapToGrid w:val="0"/>
        <w:spacing w:afterLines="50" w:line="560" w:lineRule="exact"/>
        <w:ind w:left="0" w:firstLine="640"/>
        <w:rPr>
          <w:rFonts w:ascii="仿宋_GB2312" w:hAnsi="Arial" w:eastAsia="仿宋_GB2312" w:cs="Arial"/>
          <w:sz w:val="32"/>
          <w:szCs w:val="32"/>
        </w:rPr>
      </w:pPr>
      <w:r>
        <w:rPr>
          <w:rFonts w:hint="eastAsia" w:ascii="仿宋_GB2312" w:hAnsi="Arial" w:eastAsia="仿宋_GB2312" w:cs="Arial"/>
          <w:sz w:val="32"/>
          <w:szCs w:val="32"/>
        </w:rPr>
        <w:t>本单位为依法设立并存续的企业，符合相关法律法规有关入股商业银行股东资格的规定，具有相关法律法规规定担任泉州银行股东的资格，不存在破产、清算、注销、吊销营业执照或其他不得作为泉州银行股东等情况。本单位不属于私募投资基金或资产管理计划产品。</w:t>
      </w:r>
    </w:p>
    <w:p>
      <w:pPr>
        <w:pStyle w:val="12"/>
        <w:numPr>
          <w:ilvl w:val="0"/>
          <w:numId w:val="1"/>
        </w:numPr>
        <w:adjustRightInd w:val="0"/>
        <w:snapToGrid w:val="0"/>
        <w:spacing w:afterLines="50" w:line="560" w:lineRule="exact"/>
        <w:ind w:left="0" w:firstLine="640"/>
        <w:rPr>
          <w:rFonts w:ascii="仿宋_GB2312" w:hAnsi="Arial" w:eastAsia="仿宋_GB2312" w:cs="Arial"/>
          <w:sz w:val="32"/>
          <w:szCs w:val="32"/>
        </w:rPr>
      </w:pPr>
      <w:r>
        <w:rPr>
          <w:rFonts w:hint="eastAsia" w:ascii="仿宋_GB2312" w:hAnsi="Arial" w:eastAsia="仿宋_GB2312" w:cs="Arial"/>
          <w:sz w:val="32"/>
          <w:szCs w:val="32"/>
        </w:rPr>
        <w:t>本单位认购或者受让泉州银行股份的资金均为本单位合法的自有或自筹资金，非为泉州银行贷款，出资真实；本单位认购或者受让泉州银行股份的资金均已支付完毕，不存在以委托资金等非自有或自筹资金认购或受让泉州银行股份的情形。泉州银行未向本单位认购或受让泉州银行股份的出资提供任何财务资助或担保。</w:t>
      </w:r>
    </w:p>
    <w:p>
      <w:pPr>
        <w:pStyle w:val="12"/>
        <w:numPr>
          <w:ilvl w:val="0"/>
          <w:numId w:val="1"/>
        </w:numPr>
        <w:adjustRightInd w:val="0"/>
        <w:snapToGrid w:val="0"/>
        <w:spacing w:afterLines="50" w:line="560" w:lineRule="exact"/>
        <w:ind w:left="0" w:firstLine="640"/>
        <w:rPr>
          <w:rFonts w:ascii="仿宋_GB2312" w:hAnsi="Arial" w:eastAsia="仿宋_GB2312" w:cs="Arial"/>
          <w:sz w:val="32"/>
          <w:szCs w:val="32"/>
        </w:rPr>
      </w:pPr>
      <w:r>
        <w:rPr>
          <w:rFonts w:hint="eastAsia" w:ascii="仿宋_GB2312" w:hAnsi="Arial" w:eastAsia="仿宋_GB2312" w:cs="Arial"/>
          <w:sz w:val="32"/>
          <w:szCs w:val="32"/>
        </w:rPr>
        <w:t>本单位认购或者受让泉州银行股份的出资行为均已经履行了相关法律法规规定的必要程序，不存在违规出资、抽逃出资、出资不足等情形。</w:t>
      </w:r>
    </w:p>
    <w:p>
      <w:pPr>
        <w:pStyle w:val="12"/>
        <w:numPr>
          <w:ilvl w:val="0"/>
          <w:numId w:val="1"/>
        </w:numPr>
        <w:adjustRightInd w:val="0"/>
        <w:snapToGrid w:val="0"/>
        <w:spacing w:afterLines="50" w:line="560" w:lineRule="exact"/>
        <w:ind w:left="0" w:firstLine="640"/>
        <w:rPr>
          <w:rFonts w:ascii="仿宋_GB2312" w:hAnsi="Arial" w:eastAsia="仿宋_GB2312" w:cs="Arial"/>
          <w:sz w:val="32"/>
          <w:szCs w:val="32"/>
        </w:rPr>
      </w:pPr>
      <w:r>
        <w:rPr>
          <w:rFonts w:hint="eastAsia" w:ascii="仿宋_GB2312" w:hAnsi="Arial" w:eastAsia="仿宋_GB2312" w:cs="Arial"/>
          <w:sz w:val="32"/>
          <w:szCs w:val="32"/>
        </w:rPr>
        <w:t>本单位持有的泉州银行股份不存在委托持股、信托持股、通过“持股平台”间接持股、工会或职工持股会代持或其他股份代持关系。</w:t>
      </w:r>
    </w:p>
    <w:p>
      <w:pPr>
        <w:pStyle w:val="12"/>
        <w:numPr>
          <w:ilvl w:val="0"/>
          <w:numId w:val="1"/>
        </w:numPr>
        <w:adjustRightInd w:val="0"/>
        <w:snapToGrid w:val="0"/>
        <w:spacing w:afterLines="50" w:line="560" w:lineRule="exact"/>
        <w:ind w:left="0" w:firstLine="640"/>
        <w:rPr>
          <w:rFonts w:ascii="仿宋_GB2312" w:hAnsi="Arial" w:eastAsia="仿宋_GB2312" w:cs="Arial"/>
          <w:sz w:val="32"/>
          <w:szCs w:val="32"/>
        </w:rPr>
      </w:pPr>
      <w:r>
        <w:rPr>
          <w:rFonts w:hint="eastAsia" w:ascii="仿宋_GB2312" w:hAnsi="Arial" w:eastAsia="仿宋_GB2312" w:cs="Arial"/>
          <w:sz w:val="32"/>
          <w:szCs w:val="32"/>
        </w:rPr>
        <w:t>本单位未将所持有的泉州银行股份所对应的收益权全部或部分转让给任何第三方；本单位未将所持有的泉州银行股份所对应的表决权全部或部分委托给任何第三方</w:t>
      </w:r>
    </w:p>
    <w:p>
      <w:pPr>
        <w:pStyle w:val="12"/>
        <w:numPr>
          <w:ilvl w:val="0"/>
          <w:numId w:val="1"/>
        </w:numPr>
        <w:adjustRightInd w:val="0"/>
        <w:snapToGrid w:val="0"/>
        <w:spacing w:afterLines="50" w:line="560" w:lineRule="exact"/>
        <w:ind w:left="0" w:firstLine="640"/>
        <w:rPr>
          <w:rFonts w:ascii="仿宋_GB2312" w:hAnsi="Arial" w:eastAsia="仿宋_GB2312" w:cs="Arial"/>
          <w:sz w:val="32"/>
          <w:szCs w:val="32"/>
        </w:rPr>
      </w:pPr>
      <w:r>
        <w:rPr>
          <w:rFonts w:hint="eastAsia" w:ascii="仿宋_GB2312" w:hAnsi="Arial" w:eastAsia="仿宋_GB2312" w:cs="Arial"/>
          <w:sz w:val="32"/>
          <w:szCs w:val="32"/>
        </w:rPr>
        <w:t>本单位与任何第三方之间不存在有关泉州银行股份的纠纷、争议或者潜在纠纷、争议；本单位不存在影响或可能影响本单位作为泉州银行股东行使股东权利的情形。</w:t>
      </w:r>
    </w:p>
    <w:p>
      <w:pPr>
        <w:pStyle w:val="12"/>
        <w:numPr>
          <w:ilvl w:val="0"/>
          <w:numId w:val="1"/>
        </w:numPr>
        <w:adjustRightInd w:val="0"/>
        <w:snapToGrid w:val="0"/>
        <w:spacing w:afterLines="50" w:line="560" w:lineRule="exact"/>
        <w:ind w:left="0" w:firstLine="640"/>
        <w:rPr>
          <w:rFonts w:ascii="仿宋_GB2312" w:hAnsi="Arial" w:eastAsia="仿宋_GB2312" w:cs="Arial"/>
          <w:sz w:val="32"/>
          <w:szCs w:val="32"/>
        </w:rPr>
      </w:pPr>
      <w:r>
        <w:rPr>
          <w:rFonts w:hint="eastAsia" w:ascii="仿宋_GB2312" w:hAnsi="Arial" w:eastAsia="仿宋_GB2312" w:cs="Arial"/>
          <w:sz w:val="32"/>
          <w:szCs w:val="32"/>
        </w:rPr>
        <w:t>本单位与泉州银行其他股东不存在任何关联关系或一致行动关系。</w:t>
      </w:r>
    </w:p>
    <w:p>
      <w:pPr>
        <w:pStyle w:val="12"/>
        <w:numPr>
          <w:ilvl w:val="0"/>
          <w:numId w:val="1"/>
        </w:numPr>
        <w:adjustRightInd w:val="0"/>
        <w:snapToGrid w:val="0"/>
        <w:spacing w:afterLines="50" w:line="560" w:lineRule="exact"/>
        <w:ind w:left="0" w:firstLine="640"/>
        <w:rPr>
          <w:rFonts w:ascii="仿宋_GB2312" w:hAnsi="Arial" w:eastAsia="仿宋_GB2312" w:cs="Arial"/>
          <w:sz w:val="32"/>
          <w:szCs w:val="32"/>
        </w:rPr>
      </w:pPr>
      <w:r>
        <w:rPr>
          <w:rFonts w:hint="eastAsia" w:ascii="仿宋_GB2312" w:hAnsi="Arial" w:eastAsia="仿宋_GB2312" w:cs="Arial"/>
          <w:sz w:val="32"/>
          <w:szCs w:val="32"/>
        </w:rPr>
        <w:t>本承诺函的承诺内容真实、准确、完整，本单位对上述承诺内容的真实性、准确性、完整性承担法律责任。</w:t>
      </w:r>
    </w:p>
    <w:p>
      <w:pPr>
        <w:pStyle w:val="12"/>
        <w:numPr>
          <w:ilvl w:val="0"/>
          <w:numId w:val="1"/>
        </w:numPr>
        <w:adjustRightInd w:val="0"/>
        <w:snapToGrid w:val="0"/>
        <w:spacing w:afterLines="50" w:line="560" w:lineRule="exact"/>
        <w:ind w:left="0" w:firstLine="640"/>
        <w:rPr>
          <w:rFonts w:ascii="仿宋_GB2312" w:hAnsi="Arial" w:eastAsia="仿宋_GB2312" w:cs="Arial"/>
          <w:sz w:val="32"/>
          <w:szCs w:val="32"/>
        </w:rPr>
      </w:pPr>
      <w:r>
        <w:rPr>
          <w:rFonts w:hint="eastAsia" w:ascii="仿宋_GB2312" w:hAnsi="Arial" w:eastAsia="仿宋_GB2312" w:cs="Arial"/>
          <w:sz w:val="32"/>
          <w:szCs w:val="32"/>
        </w:rPr>
        <w:t>本单位签署本承诺函已依法获得本单位内部的充分授权和有效批准，本承诺函自本单位加盖公章之日起生效。</w:t>
      </w:r>
    </w:p>
    <w:p>
      <w:pPr>
        <w:adjustRightInd w:val="0"/>
        <w:snapToGrid w:val="0"/>
        <w:spacing w:afterLines="50"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特此承诺！</w:t>
      </w:r>
    </w:p>
    <w:p>
      <w:pPr>
        <w:adjustRightInd w:val="0"/>
        <w:snapToGrid w:val="0"/>
        <w:spacing w:afterLines="50" w:line="560" w:lineRule="exact"/>
        <w:ind w:firstLine="640" w:firstLineChars="200"/>
        <w:jc w:val="center"/>
        <w:rPr>
          <w:rFonts w:ascii="仿宋_GB2312" w:hAnsi="Arial" w:eastAsia="仿宋_GB2312" w:cs="Arial"/>
          <w:sz w:val="32"/>
          <w:szCs w:val="32"/>
        </w:rPr>
      </w:pPr>
      <w:r>
        <w:rPr>
          <w:rFonts w:hint="eastAsia" w:ascii="仿宋_GB2312" w:hAnsi="Arial" w:eastAsia="仿宋_GB2312" w:cs="Arial"/>
          <w:sz w:val="32"/>
          <w:szCs w:val="32"/>
        </w:rPr>
        <w:t>（以下无正文，为签署页）</w:t>
      </w:r>
    </w:p>
    <w:p>
      <w:pPr>
        <w:spacing w:line="560" w:lineRule="exact"/>
        <w:rPr>
          <w:rFonts w:ascii="仿宋_GB2312" w:hAnsi="Arial" w:eastAsia="仿宋_GB2312" w:cs="Arial"/>
          <w:sz w:val="32"/>
          <w:szCs w:val="32"/>
        </w:rPr>
      </w:pPr>
      <w:r>
        <w:rPr>
          <w:rFonts w:hint="eastAsia" w:ascii="仿宋_GB2312" w:hAnsi="Arial" w:eastAsia="仿宋_GB2312" w:cs="Arial"/>
          <w:kern w:val="0"/>
          <w:sz w:val="32"/>
          <w:szCs w:val="32"/>
        </w:rPr>
        <w:br w:type="page"/>
      </w:r>
      <w:r>
        <w:rPr>
          <w:rFonts w:hint="eastAsia" w:ascii="仿宋_GB2312" w:hAnsi="Arial" w:eastAsia="仿宋_GB2312" w:cs="Arial"/>
          <w:sz w:val="32"/>
          <w:szCs w:val="32"/>
        </w:rPr>
        <w:t>（本页无正文，为《关于持有泉州银行股份有限公司股份的承诺函》之签署页）</w:t>
      </w:r>
    </w:p>
    <w:p>
      <w:pPr>
        <w:adjustRightInd w:val="0"/>
        <w:snapToGrid w:val="0"/>
        <w:spacing w:afterLines="50" w:line="560" w:lineRule="exact"/>
        <w:ind w:firstLine="640" w:firstLineChars="200"/>
        <w:jc w:val="right"/>
        <w:rPr>
          <w:rFonts w:ascii="仿宋_GB2312" w:hAnsi="Arial" w:eastAsia="仿宋_GB2312" w:cs="Arial"/>
          <w:sz w:val="32"/>
          <w:szCs w:val="32"/>
        </w:rPr>
      </w:pPr>
    </w:p>
    <w:p>
      <w:pPr>
        <w:adjustRightInd w:val="0"/>
        <w:snapToGrid w:val="0"/>
        <w:spacing w:afterLines="50" w:line="560" w:lineRule="exact"/>
        <w:ind w:firstLine="640" w:firstLineChars="200"/>
        <w:jc w:val="right"/>
        <w:rPr>
          <w:rFonts w:ascii="仿宋_GB2312" w:hAnsi="Arial" w:eastAsia="仿宋_GB2312" w:cs="Arial"/>
          <w:sz w:val="32"/>
          <w:szCs w:val="32"/>
        </w:rPr>
      </w:pPr>
    </w:p>
    <w:p>
      <w:pPr>
        <w:adjustRightInd w:val="0"/>
        <w:snapToGrid w:val="0"/>
        <w:spacing w:afterLines="50" w:line="560" w:lineRule="exact"/>
        <w:ind w:firstLine="640" w:firstLineChars="200"/>
        <w:jc w:val="right"/>
        <w:rPr>
          <w:rFonts w:ascii="仿宋_GB2312" w:hAnsi="Arial" w:eastAsia="仿宋_GB2312" w:cs="Arial"/>
          <w:sz w:val="32"/>
          <w:szCs w:val="32"/>
        </w:rPr>
      </w:pPr>
    </w:p>
    <w:p>
      <w:pPr>
        <w:tabs>
          <w:tab w:val="left" w:pos="5387"/>
          <w:tab w:val="left" w:pos="5812"/>
        </w:tabs>
        <w:adjustRightInd w:val="0"/>
        <w:snapToGrid w:val="0"/>
        <w:spacing w:afterLines="50" w:line="560" w:lineRule="exact"/>
        <w:ind w:right="640"/>
        <w:jc w:val="center"/>
        <w:rPr>
          <w:rFonts w:ascii="仿宋_GB2312" w:eastAsia="仿宋_GB2312"/>
          <w:sz w:val="32"/>
          <w:szCs w:val="32"/>
        </w:rPr>
      </w:pPr>
      <w:r>
        <w:rPr>
          <w:rFonts w:hint="eastAsia" w:ascii="仿宋_GB2312" w:eastAsia="仿宋_GB2312"/>
          <w:sz w:val="32"/>
          <w:szCs w:val="32"/>
        </w:rPr>
        <w:t xml:space="preserve">                         承诺人：</w:t>
      </w:r>
    </w:p>
    <w:p>
      <w:pPr>
        <w:tabs>
          <w:tab w:val="left" w:pos="5387"/>
          <w:tab w:val="left" w:pos="5812"/>
        </w:tabs>
        <w:adjustRightInd w:val="0"/>
        <w:snapToGrid w:val="0"/>
        <w:spacing w:afterLines="50" w:line="560" w:lineRule="exact"/>
        <w:ind w:firstLine="6080" w:firstLineChars="1900"/>
        <w:rPr>
          <w:rFonts w:ascii="仿宋_GB2312" w:eastAsia="仿宋_GB2312"/>
          <w:sz w:val="32"/>
          <w:szCs w:val="32"/>
        </w:rPr>
      </w:pPr>
    </w:p>
    <w:p>
      <w:pPr>
        <w:tabs>
          <w:tab w:val="left" w:pos="5387"/>
          <w:tab w:val="left" w:pos="5812"/>
        </w:tabs>
        <w:adjustRightInd w:val="0"/>
        <w:snapToGrid w:val="0"/>
        <w:spacing w:afterLines="50" w:line="560" w:lineRule="exact"/>
        <w:ind w:firstLine="6080" w:firstLineChars="1900"/>
        <w:jc w:val="right"/>
        <w:rPr>
          <w:rFonts w:ascii="仿宋_GB2312" w:eastAsia="仿宋_GB2312"/>
          <w:sz w:val="32"/>
          <w:szCs w:val="32"/>
        </w:rPr>
      </w:pPr>
      <w:r>
        <w:rPr>
          <w:rFonts w:hint="eastAsia" w:ascii="仿宋_GB2312" w:eastAsia="仿宋_GB2312"/>
          <w:sz w:val="32"/>
          <w:szCs w:val="32"/>
        </w:rPr>
        <w:t>（法人公章）</w:t>
      </w:r>
    </w:p>
    <w:p>
      <w:pPr>
        <w:adjustRightInd w:val="0"/>
        <w:snapToGrid w:val="0"/>
        <w:spacing w:afterLines="50" w:line="560" w:lineRule="exact"/>
        <w:ind w:firstLine="640" w:firstLineChars="200"/>
        <w:rPr>
          <w:rFonts w:ascii="仿宋_GB2312" w:eastAsia="仿宋_GB2312"/>
          <w:sz w:val="32"/>
          <w:szCs w:val="32"/>
        </w:rPr>
      </w:pPr>
    </w:p>
    <w:p>
      <w:pPr>
        <w:adjustRightInd w:val="0"/>
        <w:snapToGrid w:val="0"/>
        <w:spacing w:afterLines="50" w:line="560" w:lineRule="exact"/>
        <w:ind w:firstLine="8960" w:firstLineChars="2800"/>
        <w:jc w:val="left"/>
        <w:rPr>
          <w:rFonts w:ascii="仿宋_GB2312" w:hAnsi="Arial" w:eastAsia="仿宋_GB2312" w:cs="Arial"/>
          <w:sz w:val="32"/>
          <w:szCs w:val="32"/>
        </w:rPr>
      </w:pPr>
    </w:p>
    <w:p>
      <w:pPr>
        <w:wordWrap w:val="0"/>
        <w:adjustRightInd w:val="0"/>
        <w:snapToGrid w:val="0"/>
        <w:spacing w:afterLines="50" w:line="560" w:lineRule="exact"/>
        <w:jc w:val="right"/>
        <w:rPr>
          <w:rFonts w:ascii="仿宋_GB2312" w:hAnsi="Arial" w:eastAsia="仿宋_GB2312" w:cs="Arial"/>
          <w:sz w:val="32"/>
          <w:szCs w:val="32"/>
        </w:rPr>
      </w:pPr>
      <w:r>
        <w:rPr>
          <w:rFonts w:hint="eastAsia" w:ascii="仿宋_GB2312" w:hAnsi="Arial" w:eastAsia="仿宋_GB2312" w:cs="Arial"/>
          <w:sz w:val="32"/>
          <w:szCs w:val="32"/>
        </w:rPr>
        <w:t xml:space="preserve">  年  月  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C93239"/>
    <w:multiLevelType w:val="multilevel"/>
    <w:tmpl w:val="1BC93239"/>
    <w:lvl w:ilvl="0" w:tentative="0">
      <w:start w:val="1"/>
      <w:numFmt w:val="decimal"/>
      <w:lvlText w:val="%1."/>
      <w:lvlJc w:val="left"/>
      <w:pPr>
        <w:ind w:left="5665" w:hanging="420"/>
      </w:pPr>
    </w:lvl>
    <w:lvl w:ilvl="1" w:tentative="0">
      <w:start w:val="1"/>
      <w:numFmt w:val="lowerLetter"/>
      <w:lvlText w:val="%2)"/>
      <w:lvlJc w:val="left"/>
      <w:pPr>
        <w:ind w:left="6085" w:hanging="420"/>
      </w:pPr>
    </w:lvl>
    <w:lvl w:ilvl="2" w:tentative="0">
      <w:start w:val="1"/>
      <w:numFmt w:val="lowerRoman"/>
      <w:lvlText w:val="%3."/>
      <w:lvlJc w:val="right"/>
      <w:pPr>
        <w:ind w:left="6505" w:hanging="420"/>
      </w:pPr>
    </w:lvl>
    <w:lvl w:ilvl="3" w:tentative="0">
      <w:start w:val="1"/>
      <w:numFmt w:val="decimal"/>
      <w:lvlText w:val="%4."/>
      <w:lvlJc w:val="left"/>
      <w:pPr>
        <w:ind w:left="6925" w:hanging="420"/>
      </w:pPr>
    </w:lvl>
    <w:lvl w:ilvl="4" w:tentative="0">
      <w:start w:val="1"/>
      <w:numFmt w:val="lowerLetter"/>
      <w:lvlText w:val="%5)"/>
      <w:lvlJc w:val="left"/>
      <w:pPr>
        <w:ind w:left="7345" w:hanging="420"/>
      </w:pPr>
    </w:lvl>
    <w:lvl w:ilvl="5" w:tentative="0">
      <w:start w:val="1"/>
      <w:numFmt w:val="lowerRoman"/>
      <w:lvlText w:val="%6."/>
      <w:lvlJc w:val="right"/>
      <w:pPr>
        <w:ind w:left="7765" w:hanging="420"/>
      </w:pPr>
    </w:lvl>
    <w:lvl w:ilvl="6" w:tentative="0">
      <w:start w:val="1"/>
      <w:numFmt w:val="decimal"/>
      <w:lvlText w:val="%7."/>
      <w:lvlJc w:val="left"/>
      <w:pPr>
        <w:ind w:left="8185" w:hanging="420"/>
      </w:pPr>
    </w:lvl>
    <w:lvl w:ilvl="7" w:tentative="0">
      <w:start w:val="1"/>
      <w:numFmt w:val="lowerLetter"/>
      <w:lvlText w:val="%8)"/>
      <w:lvlJc w:val="left"/>
      <w:pPr>
        <w:ind w:left="8605" w:hanging="420"/>
      </w:pPr>
    </w:lvl>
    <w:lvl w:ilvl="8" w:tentative="0">
      <w:start w:val="1"/>
      <w:numFmt w:val="lowerRoman"/>
      <w:lvlText w:val="%9."/>
      <w:lvlJc w:val="right"/>
      <w:pPr>
        <w:ind w:left="902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80B"/>
    <w:rsid w:val="000540CB"/>
    <w:rsid w:val="0028676A"/>
    <w:rsid w:val="00404BFE"/>
    <w:rsid w:val="00414414"/>
    <w:rsid w:val="004C6068"/>
    <w:rsid w:val="004D1F10"/>
    <w:rsid w:val="00661DEF"/>
    <w:rsid w:val="00666D85"/>
    <w:rsid w:val="006E4969"/>
    <w:rsid w:val="00737FA4"/>
    <w:rsid w:val="00794405"/>
    <w:rsid w:val="007C0105"/>
    <w:rsid w:val="007C3C1A"/>
    <w:rsid w:val="007C4660"/>
    <w:rsid w:val="0085280B"/>
    <w:rsid w:val="008A743E"/>
    <w:rsid w:val="008F0C61"/>
    <w:rsid w:val="008F7A28"/>
    <w:rsid w:val="009D64A5"/>
    <w:rsid w:val="00B91914"/>
    <w:rsid w:val="00BE6F93"/>
    <w:rsid w:val="00C27FCF"/>
    <w:rsid w:val="00E3145C"/>
    <w:rsid w:val="00E53D0B"/>
    <w:rsid w:val="1C51573E"/>
    <w:rsid w:val="5C982E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8"/>
    <w:link w:val="2"/>
    <w:semiHidden/>
    <w:qFormat/>
    <w:uiPriority w:val="99"/>
    <w:rPr>
      <w:rFonts w:ascii="Times New Roman" w:hAnsi="Times New Roman" w:eastAsia="宋体" w:cs="Times New Roman"/>
      <w:szCs w:val="24"/>
    </w:rPr>
  </w:style>
  <w:style w:type="character" w:customStyle="1" w:styleId="14">
    <w:name w:val="批注主题 Char"/>
    <w:basedOn w:val="13"/>
    <w:link w:val="6"/>
    <w:semiHidden/>
    <w:uiPriority w:val="99"/>
    <w:rPr>
      <w:rFonts w:ascii="Times New Roman" w:hAnsi="Times New Roman" w:eastAsia="宋体" w:cs="Times New Roman"/>
      <w:b/>
      <w:bCs/>
      <w:szCs w:val="24"/>
    </w:rPr>
  </w:style>
  <w:style w:type="character" w:customStyle="1" w:styleId="15">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KWM</Company>
  <Pages>3</Pages>
  <Words>153</Words>
  <Characters>878</Characters>
  <Lines>7</Lines>
  <Paragraphs>2</Paragraphs>
  <TotalTime>42</TotalTime>
  <ScaleCrop>false</ScaleCrop>
  <LinksUpToDate>false</LinksUpToDate>
  <CharactersWithSpaces>1029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2020-03-01T13:16:00Z</dcterms:created>
  <dc:creator>KWM</dc:creator>
  <cp:lastModifiedBy>尹柳</cp:lastModifiedBy>
  <dcterms:modified xsi:type="dcterms:W3CDTF">2021-11-23T02:47:20Z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